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</w:pPr>
    </w:p>
    <w:p w14:paraId="05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</w:pPr>
    </w:p>
    <w:p w14:paraId="06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</w:pPr>
    </w:p>
    <w:p w14:paraId="07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</w:pPr>
    </w:p>
    <w:p w14:paraId="08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</w:pPr>
    </w:p>
    <w:p w14:paraId="09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</w:pPr>
    </w:p>
    <w:p w14:paraId="0A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</w:pPr>
    </w:p>
    <w:p w14:paraId="0B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</w:pPr>
      <w:r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  <w:t xml:space="preserve">Структура </w:t>
      </w:r>
    </w:p>
    <w:p w14:paraId="0C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</w:pPr>
      <w:r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  <w:t>технологической карты</w:t>
      </w:r>
    </w:p>
    <w:p w14:paraId="0D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</w:pPr>
      <w:r>
        <w:rPr>
          <w:rFonts w:ascii="Times New Roman" w:hAnsi="Times New Roman"/>
          <w:b w:val="1"/>
          <w:i w:val="0"/>
          <w:caps w:val="1"/>
          <w:color w:val="222222"/>
          <w:spacing w:val="-7"/>
          <w:sz w:val="36"/>
        </w:rPr>
        <w:t xml:space="preserve"> образовательной деятельности с детьми</w:t>
      </w:r>
    </w:p>
    <w:p w14:paraId="0E000000">
      <w:pPr>
        <w:spacing w:after="375" w:before="225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0576D"/>
          <w:spacing w:val="0"/>
          <w:sz w:val="26"/>
        </w:rPr>
      </w:pPr>
    </w:p>
    <w:p w14:paraId="0F000000">
      <w:pPr>
        <w:spacing w:after="375" w:before="225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0576D"/>
          <w:spacing w:val="0"/>
          <w:sz w:val="26"/>
        </w:rPr>
      </w:pPr>
    </w:p>
    <w:p w14:paraId="10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50576D"/>
          <w:spacing w:val="0"/>
          <w:sz w:val="26"/>
        </w:rPr>
      </w:pPr>
    </w:p>
    <w:p w14:paraId="11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50576D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0576D"/>
          <w:spacing w:val="0"/>
          <w:sz w:val="28"/>
        </w:rPr>
        <w:t>Подготовила:</w:t>
      </w:r>
    </w:p>
    <w:p w14:paraId="1200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50576D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50576D"/>
          <w:spacing w:val="0"/>
          <w:sz w:val="28"/>
        </w:rPr>
        <w:t>Ф.И.О., должность</w:t>
      </w:r>
    </w:p>
    <w:p w14:paraId="13000000">
      <w:pPr>
        <w:spacing w:after="375" w:before="225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0576D"/>
          <w:spacing w:val="0"/>
          <w:sz w:val="26"/>
        </w:rPr>
      </w:pPr>
    </w:p>
    <w:p w14:paraId="14000000">
      <w:pPr>
        <w:spacing w:after="375" w:before="225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0576D"/>
          <w:spacing w:val="0"/>
          <w:sz w:val="26"/>
        </w:rPr>
      </w:pPr>
    </w:p>
    <w:p w14:paraId="15000000">
      <w:pPr>
        <w:spacing w:after="375" w:before="225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50576D"/>
          <w:spacing w:val="0"/>
          <w:sz w:val="26"/>
        </w:rPr>
      </w:pPr>
    </w:p>
    <w:p w14:paraId="16000000">
      <w:pPr>
        <w:spacing w:after="375" w:before="225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50576D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50576D"/>
          <w:spacing w:val="0"/>
          <w:sz w:val="28"/>
        </w:rPr>
        <w:t>Город, год</w:t>
      </w:r>
    </w:p>
    <w:tbl>
      <w:tblPr>
        <w:tblW w:type="auto" w:w="0"/>
        <w:tblBorders>
          <w:top w:color="222222" w:sz="6" w:val="single"/>
          <w:left w:color="222222" w:sz="6" w:val="single"/>
          <w:bottom w:color="222222" w:sz="6" w:val="single"/>
          <w:right w:color="222222" w:sz="6" w:val="single"/>
        </w:tblBorders>
        <w:tblLayout w:type="fixed"/>
      </w:tblPr>
      <w:tblGrid>
        <w:gridCol w:w="2238"/>
        <w:gridCol w:w="6435"/>
        <w:gridCol w:w="2790"/>
        <w:gridCol w:w="2994"/>
      </w:tblGrid>
      <w:tr>
        <w:tc>
          <w:tcPr>
            <w:tcW w:type="dxa" w:w="2238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center"/>
          </w:tcPr>
          <w:p w14:paraId="1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6"/>
                <w:highlight w:val="white"/>
              </w:rPr>
            </w:pPr>
            <w:r>
              <w:rPr>
                <w:rFonts w:ascii="Times New Roman" w:hAnsi="Times New Roman"/>
                <w:b w:val="1"/>
                <w:sz w:val="26"/>
                <w:highlight w:val="white"/>
              </w:rPr>
              <w:t>Задачи</w:t>
            </w:r>
          </w:p>
        </w:tc>
        <w:tc>
          <w:tcPr>
            <w:tcW w:type="dxa" w:w="6435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center"/>
          </w:tcPr>
          <w:p w14:paraId="1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6"/>
                <w:highlight w:val="white"/>
              </w:rPr>
            </w:pPr>
            <w:r>
              <w:rPr>
                <w:rFonts w:ascii="Times New Roman" w:hAnsi="Times New Roman"/>
                <w:b w:val="1"/>
                <w:sz w:val="26"/>
                <w:highlight w:val="white"/>
              </w:rPr>
              <w:t>Содержание совместной деятельности педагога и детей</w:t>
            </w:r>
          </w:p>
        </w:tc>
        <w:tc>
          <w:tcPr>
            <w:tcW w:type="dxa" w:w="2790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1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6"/>
                <w:highlight w:val="white"/>
              </w:rPr>
            </w:pPr>
            <w:r>
              <w:rPr>
                <w:rFonts w:ascii="Times New Roman" w:hAnsi="Times New Roman"/>
                <w:b w:val="1"/>
                <w:sz w:val="26"/>
                <w:highlight w:val="white"/>
              </w:rPr>
              <w:t>Методы, приемы, формы, возможные виды деятельности</w:t>
            </w:r>
          </w:p>
        </w:tc>
        <w:tc>
          <w:tcPr>
            <w:tcW w:type="dxa" w:w="299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center"/>
          </w:tcPr>
          <w:p w14:paraId="1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6"/>
                <w:highlight w:val="white"/>
              </w:rPr>
            </w:pPr>
            <w:r>
              <w:rPr>
                <w:rFonts w:ascii="Times New Roman" w:hAnsi="Times New Roman"/>
                <w:b w:val="1"/>
                <w:sz w:val="26"/>
                <w:highlight w:val="white"/>
              </w:rPr>
              <w:t>Предполагаемый результат</w:t>
            </w:r>
          </w:p>
        </w:tc>
      </w:tr>
      <w:tr>
        <w:trPr>
          <w:trHeight w:hRule="atLeast" w:val="234"/>
        </w:trPr>
        <w:tc>
          <w:tcPr>
            <w:tcW w:type="dxa" w:w="14457"/>
            <w:gridSpan w:val="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1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1-й этап – вводная часть – организационный момент</w:t>
            </w:r>
          </w:p>
        </w:tc>
      </w:tr>
      <w:tr>
        <w:tc>
          <w:tcPr>
            <w:tcW w:type="dxa" w:w="2238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1C000000">
            <w:pPr>
              <w:spacing w:after="150" w:before="0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Создать атмосферу психологической безопасности и эмоциональной поддержки детей.</w:t>
            </w:r>
          </w:p>
          <w:p w14:paraId="1D000000">
            <w:pPr>
              <w:spacing w:after="150" w:before="0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</w:p>
          <w:p w14:paraId="1E000000">
            <w:pPr>
              <w:spacing w:after="150" w:before="0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Переключить внимание детей на предстоящую деятельность</w:t>
            </w:r>
          </w:p>
        </w:tc>
        <w:tc>
          <w:tcPr>
            <w:tcW w:type="dxa" w:w="6435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1F000000">
            <w:pPr>
              <w:spacing w:after="0" w:before="0"/>
              <w:ind w:firstLine="624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 привлекает внимание детей:</w:t>
            </w:r>
          </w:p>
          <w:p w14:paraId="20000000">
            <w:pPr>
              <w:numPr>
                <w:ilvl w:val="0"/>
                <w:numId w:val="1"/>
              </w:numPr>
              <w:spacing w:after="0" w:before="0"/>
              <w:ind w:firstLine="624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вносит что-то новое, что заинтересует большинство детей;</w:t>
            </w:r>
          </w:p>
          <w:p w14:paraId="21000000">
            <w:pPr>
              <w:numPr>
                <w:ilvl w:val="0"/>
                <w:numId w:val="1"/>
              </w:numPr>
              <w:spacing w:after="0" w:before="0"/>
              <w:ind w:firstLine="624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убирает в группе, например, все куклы или машинки, а дети вспоминают, что было на этом месте;</w:t>
            </w:r>
          </w:p>
          <w:p w14:paraId="22000000">
            <w:pPr>
              <w:numPr>
                <w:ilvl w:val="0"/>
                <w:numId w:val="1"/>
              </w:numPr>
              <w:spacing w:after="0" w:before="0"/>
              <w:ind w:firstLine="624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знакомит детей с гостьей – игрушкой или другим педагогом;</w:t>
            </w:r>
          </w:p>
          <w:p w14:paraId="23000000">
            <w:pPr>
              <w:numPr>
                <w:ilvl w:val="0"/>
                <w:numId w:val="1"/>
              </w:numPr>
              <w:spacing w:after="0" w:before="0"/>
              <w:ind w:firstLine="624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создает эффект неожиданности: шум, треск,</w:t>
            </w:r>
            <w:r>
              <w:rPr>
                <w:rFonts w:ascii="Times New Roman" w:hAnsi="Times New Roman"/>
                <w:sz w:val="26"/>
              </w:rPr>
              <w:t xml:space="preserve"> стук;</w:t>
            </w:r>
          </w:p>
          <w:p w14:paraId="24000000">
            <w:pPr>
              <w:numPr>
                <w:ilvl w:val="0"/>
                <w:numId w:val="1"/>
              </w:numPr>
              <w:spacing w:after="0" w:before="0"/>
              <w:ind w:firstLine="624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интригует детей словами: «Подождите, после зарядки расскажу»; «Пока не смотрите, после завтрака покажу».</w:t>
            </w:r>
          </w:p>
          <w:p w14:paraId="25000000">
            <w:pPr>
              <w:spacing w:after="0" w:before="0"/>
              <w:ind w:firstLine="624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размышляют и высказывают свои предположения. Воспитатель в течение некоторого времени сохраняет интригу – что же будет</w:t>
            </w:r>
          </w:p>
        </w:tc>
        <w:tc>
          <w:tcPr>
            <w:tcW w:type="dxa" w:w="2790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center"/>
          </w:tcPr>
          <w:p w14:paraId="26000000">
            <w:pPr>
              <w:spacing w:after="75" w:before="75"/>
              <w:ind w:firstLine="0" w:left="75" w:right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Вопросы детям, беседа</w:t>
            </w:r>
          </w:p>
        </w:tc>
        <w:tc>
          <w:tcPr>
            <w:tcW w:type="dxa" w:w="299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center"/>
          </w:tcPr>
          <w:p w14:paraId="27000000">
            <w:pPr>
              <w:spacing w:after="75" w:before="75"/>
              <w:ind w:firstLine="0" w:left="75" w:right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 привлечет внимание всех детей и вовлечет их в беседу</w:t>
            </w:r>
          </w:p>
        </w:tc>
      </w:tr>
      <w:tr>
        <w:tc>
          <w:tcPr>
            <w:tcW w:type="dxa" w:w="14457"/>
            <w:gridSpan w:val="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2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   2-й этап – проблемная ситуация</w:t>
            </w:r>
          </w:p>
        </w:tc>
      </w:tr>
      <w:tr>
        <w:tc>
          <w:tcPr>
            <w:tcW w:type="dxa" w:w="2238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center"/>
          </w:tcPr>
          <w:p w14:paraId="29000000">
            <w:pPr>
              <w:spacing w:after="0" w:before="0"/>
              <w:ind w:firstLine="0" w:left="75" w:right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Создать проблемную ситуацию</w:t>
            </w:r>
          </w:p>
        </w:tc>
        <w:tc>
          <w:tcPr>
            <w:tcW w:type="dxa" w:w="6435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2A000000">
            <w:pPr>
              <w:spacing w:after="150" w:before="0"/>
              <w:ind w:firstLine="567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 создает проблемную ситуацию с учетом возраста детей. Например, для детей старшего дошкольного возраста это такая ситуация, которая вызывает у них затруднение в деятельности, и они фиксируют его в речи: «Мы это не знаем, мы это еще не умеем».</w:t>
            </w:r>
          </w:p>
          <w:p w14:paraId="2B000000">
            <w:pPr>
              <w:spacing w:after="0" w:before="0"/>
              <w:ind w:firstLine="567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 не оценивает, а принимает любые ответы детей. При этом он предлагает дошкольникам выбрать, что можно сделать, а не дает готовое решение проблемной ситуации. Дети выдвигают различные варианты, что сделать, чтобы разрешить проблему</w:t>
            </w:r>
          </w:p>
        </w:tc>
        <w:tc>
          <w:tcPr>
            <w:tcW w:type="dxa" w:w="2790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center"/>
          </w:tcPr>
          <w:p w14:paraId="2C000000">
            <w:pPr>
              <w:spacing w:after="0" w:before="0"/>
              <w:ind w:firstLine="0" w:left="75" w:right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Беседа с детьми</w:t>
            </w:r>
          </w:p>
        </w:tc>
        <w:tc>
          <w:tcPr>
            <w:tcW w:type="dxa" w:w="299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2D000000">
            <w:pPr>
              <w:spacing w:after="113" w:before="0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формулируют вывод, как всем вместе выйти из затруднительной ситуации и решить проблему.</w:t>
            </w:r>
          </w:p>
          <w:p w14:paraId="2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Самостоятельно высказывают предположения, что делать</w:t>
            </w:r>
          </w:p>
        </w:tc>
      </w:tr>
      <w:tr>
        <w:tc>
          <w:tcPr>
            <w:tcW w:type="dxa" w:w="14457"/>
            <w:gridSpan w:val="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2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3-й этап – основная часть – восприятие и усвоение нового</w:t>
            </w:r>
          </w:p>
        </w:tc>
      </w:tr>
      <w:tr>
        <w:tc>
          <w:tcPr>
            <w:tcW w:type="dxa" w:w="2238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30000000">
            <w:pPr>
              <w:spacing w:after="113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Спроектировать решение проблемной ситуации.</w:t>
            </w:r>
          </w:p>
          <w:p w14:paraId="31000000">
            <w:pPr>
              <w:spacing w:after="113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Актуализировать имеющийся у детей опыт, начать решать проблемную ситуацию.</w:t>
            </w:r>
          </w:p>
          <w:p w14:paraId="32000000">
            <w:pPr>
              <w:spacing w:after="0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Закрепить, расширить, обобщить представления детей по теме образовательной деятельности</w:t>
            </w:r>
          </w:p>
        </w:tc>
        <w:tc>
          <w:tcPr>
            <w:tcW w:type="dxa" w:w="6435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33000000">
            <w:pPr>
              <w:spacing w:after="0" w:before="0"/>
              <w:ind w:firstLine="624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 с помощью наводящих вопросов организует поисковую деятельность детей. Подводит их к возможным способам, как получить информацию, чтобы успешно решить проблемную ситуацию.</w:t>
            </w:r>
          </w:p>
          <w:p w14:paraId="34000000">
            <w:pPr>
              <w:spacing w:after="0" w:before="0"/>
              <w:ind w:firstLine="624" w:left="-57" w:right="-57"/>
              <w:jc w:val="both"/>
              <w:rPr>
                <w:rFonts w:ascii="Times New Roman" w:hAnsi="Times New Roman"/>
                <w:sz w:val="26"/>
              </w:rPr>
            </w:pPr>
          </w:p>
          <w:p w14:paraId="35000000">
            <w:pPr>
              <w:spacing w:after="0" w:before="0"/>
              <w:ind w:firstLine="624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участвуют в диалоге, высказывают свое мнение, основываясь на своем опыте, сами задают вопросы воспитателю и отвечают на вопросы, которые им задает педагог</w:t>
            </w:r>
          </w:p>
        </w:tc>
        <w:tc>
          <w:tcPr>
            <w:tcW w:type="dxa" w:w="2790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36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sz w:val="26"/>
              </w:rPr>
            </w:pPr>
          </w:p>
          <w:p w14:paraId="37000000">
            <w:pPr>
              <w:spacing w:after="0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Беседа, диалог с детьми, игра - фантазирование.</w:t>
            </w:r>
          </w:p>
          <w:p w14:paraId="38000000">
            <w:pPr>
              <w:spacing w:after="150" w:before="0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</w:p>
          <w:p w14:paraId="39000000">
            <w:pPr>
              <w:spacing w:after="150" w:before="0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Использование мультимедийного оборудования</w:t>
            </w:r>
          </w:p>
        </w:tc>
        <w:tc>
          <w:tcPr>
            <w:tcW w:type="dxa" w:w="299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3A000000">
            <w:pPr>
              <w:spacing w:after="0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находят верный способ, как решить проблемную ситуацию. Осознают связь между решением проблемной ситуации и своими действиями. Получают опыт познавательной деятельности, проявляют инициативу, любознательность, закрепляют навыки самостоятельно действовать и решать интеллектуальные задачи, адекватные их возрасту</w:t>
            </w:r>
          </w:p>
        </w:tc>
      </w:tr>
      <w:tr>
        <w:trPr>
          <w:trHeight w:hRule="atLeast" w:val="200"/>
        </w:trPr>
        <w:tc>
          <w:tcPr>
            <w:tcW w:type="dxa" w:w="14457"/>
            <w:gridSpan w:val="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3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4-й этап – динамическая пауза</w:t>
            </w:r>
          </w:p>
        </w:tc>
      </w:tr>
      <w:tr>
        <w:tc>
          <w:tcPr>
            <w:tcW w:type="dxa" w:w="2238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center"/>
          </w:tcPr>
          <w:p w14:paraId="3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Сменить вид деятельности, предупредить утомляемость</w:t>
            </w:r>
          </w:p>
        </w:tc>
        <w:tc>
          <w:tcPr>
            <w:tcW w:type="dxa" w:w="6435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3D000000">
            <w:pPr>
              <w:spacing w:after="0" w:before="0"/>
              <w:ind w:firstLine="709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 предлагает детям любую динамическую игру на выбор. Содержание игры отражает тематику образовательной деятельности. В игре участвуют все дети</w:t>
            </w:r>
          </w:p>
        </w:tc>
        <w:tc>
          <w:tcPr>
            <w:tcW w:type="dxa" w:w="2790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3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Игровые приемы. Музыкальное и мультимедийное сопровождение игры на экране проектора</w:t>
            </w:r>
          </w:p>
        </w:tc>
        <w:tc>
          <w:tcPr>
            <w:tcW w:type="dxa" w:w="299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3F000000">
            <w:pPr>
              <w:spacing w:after="0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ходе динамической паузы дети испытывают эмоциональную и физическую разрядку, получают новый игровой опыт</w:t>
            </w:r>
          </w:p>
        </w:tc>
      </w:tr>
      <w:tr>
        <w:tc>
          <w:tcPr>
            <w:tcW w:type="dxa" w:w="14457"/>
            <w:gridSpan w:val="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4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5-й этап – практическая работа</w:t>
            </w:r>
          </w:p>
        </w:tc>
      </w:tr>
      <w:tr>
        <w:tc>
          <w:tcPr>
            <w:tcW w:type="dxa" w:w="2238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center"/>
          </w:tcPr>
          <w:p w14:paraId="41000000">
            <w:pPr>
              <w:spacing w:after="75" w:before="75"/>
              <w:ind w:firstLine="0" w:left="75" w:right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Научить детей новым способам действий</w:t>
            </w:r>
          </w:p>
        </w:tc>
        <w:tc>
          <w:tcPr>
            <w:tcW w:type="dxa" w:w="6435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42000000">
            <w:pPr>
              <w:spacing w:after="0" w:before="0"/>
              <w:ind w:firstLine="567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 организует практическую работу детей. В зависимости от возраста детей это может быть как совместная деятельность воспитанников с педагогом, так и индивидуальная</w:t>
            </w:r>
          </w:p>
        </w:tc>
        <w:tc>
          <w:tcPr>
            <w:tcW w:type="dxa" w:w="2790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43000000">
            <w:pPr>
              <w:spacing w:after="0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Изобразительная деятельность: лепка, рисование, аппликация. Экспериментирование. Задания на листе (для воспитанников подготовительной к школе группы), на компьютере.</w:t>
            </w:r>
          </w:p>
        </w:tc>
        <w:tc>
          <w:tcPr>
            <w:tcW w:type="dxa" w:w="299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center"/>
          </w:tcPr>
          <w:p w14:paraId="4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учатся конструктивно взаимодействовать со сверстниками и педагогом, проявляют самостоятельность</w:t>
            </w:r>
          </w:p>
        </w:tc>
      </w:tr>
      <w:tr>
        <w:trPr>
          <w:trHeight w:hRule="atLeast" w:val="338"/>
        </w:trPr>
        <w:tc>
          <w:tcPr>
            <w:tcW w:type="dxa" w:w="14457"/>
            <w:gridSpan w:val="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4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6-й этап – заключительная часть – рефлексия</w:t>
            </w:r>
          </w:p>
        </w:tc>
      </w:tr>
      <w:tr>
        <w:tc>
          <w:tcPr>
            <w:tcW w:type="dxa" w:w="2238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46000000">
            <w:pPr>
              <w:spacing w:after="0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Подвести итоги образовательной деятельности. Обобщить полученный детьми опыт.</w:t>
            </w:r>
          </w:p>
          <w:p w14:paraId="47000000">
            <w:pPr>
              <w:spacing w:after="0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</w:p>
          <w:p w14:paraId="48000000">
            <w:pPr>
              <w:spacing w:after="0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Сформировать элементарные навыки самоконтроля, самооценки, ответственность за принятое решение и полученный результат</w:t>
            </w:r>
          </w:p>
        </w:tc>
        <w:tc>
          <w:tcPr>
            <w:tcW w:type="dxa" w:w="6435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49000000">
            <w:pPr>
              <w:spacing w:after="0" w:before="0"/>
              <w:ind w:firstLine="624" w:left="-57" w:right="-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Воспитатель проводит беседу с детьми, чтобы помочь им осмыслить новый материал и свою деятельность в ходе решения проблемной ситуации. Дети обобщают информацию, делают выводы, обмениваются мнениями. В зависимости от возраста детей воспитатель проводит рефлексию в разной форме:</w:t>
            </w:r>
          </w:p>
          <w:p w14:paraId="4A000000">
            <w:pPr>
              <w:numPr>
                <w:ilvl w:val="0"/>
                <w:numId w:val="2"/>
              </w:numPr>
              <w:spacing w:after="0" w:before="0"/>
              <w:ind w:firstLine="567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для младшего дошкольного возраста – рефлексия настроения и эмоционального состояния;</w:t>
            </w:r>
          </w:p>
          <w:p w14:paraId="4B000000">
            <w:pPr>
              <w:numPr>
                <w:ilvl w:val="0"/>
                <w:numId w:val="2"/>
              </w:numPr>
              <w:spacing w:after="0" w:before="0"/>
              <w:ind w:firstLine="567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для старшего дошкольного возраста – рефлексия деятельности или содержания учебного материала</w:t>
            </w:r>
          </w:p>
        </w:tc>
        <w:tc>
          <w:tcPr>
            <w:tcW w:type="dxa" w:w="2790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center"/>
          </w:tcPr>
          <w:p w14:paraId="4C000000">
            <w:pPr>
              <w:spacing w:after="75" w:before="75"/>
              <w:ind w:firstLine="0" w:left="75" w:right="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Беседа, диалог, сюрпризный момент</w:t>
            </w:r>
          </w:p>
        </w:tc>
        <w:tc>
          <w:tcPr>
            <w:tcW w:type="dxa" w:w="2994"/>
            <w:tcBorders>
              <w:top w:color="222222" w:sz="6" w:val="single"/>
              <w:left w:color="222222" w:sz="6" w:val="single"/>
              <w:bottom w:color="222222" w:sz="6" w:val="single"/>
              <w:right w:color="222222" w:sz="6" w:val="single"/>
            </w:tcBorders>
            <w:vAlign w:val="top"/>
          </w:tcPr>
          <w:p w14:paraId="4D000000">
            <w:pPr>
              <w:spacing w:after="113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учатся оценивать полученный результат (для старших дошкольников). Каждый воспитанник чувствует себя участником совместного познавательного, творческого процесса.</w:t>
            </w:r>
          </w:p>
          <w:p w14:paraId="4E000000">
            <w:pPr>
              <w:spacing w:after="0" w:before="0"/>
              <w:ind w:firstLine="57" w:left="-57" w:right="-5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 получают эмоциональное удовлетворение от совместной деятельности (для младших дошкольников)</w:t>
            </w:r>
          </w:p>
        </w:tc>
      </w:tr>
    </w:tbl>
    <w:p w14:paraId="4F000000">
      <w:pPr>
        <w:spacing w:after="120" w:before="120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6"/>
        </w:rPr>
      </w:pPr>
      <w:r>
        <w:rPr>
          <w:rFonts w:ascii="Times New Roman" w:hAnsi="Times New Roman"/>
          <w:sz w:val="26"/>
        </w:rPr>
        <w:br/>
      </w:r>
    </w:p>
    <w:p w14:paraId="50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22222"/>
          <w:spacing w:val="0"/>
          <w:sz w:val="26"/>
        </w:rPr>
      </w:pPr>
      <w:r>
        <w:rPr>
          <w:rFonts w:ascii="Times New Roman" w:hAnsi="Times New Roman"/>
          <w:sz w:val="26"/>
        </w:rPr>
        <w:br/>
      </w:r>
    </w:p>
    <w:p w14:paraId="51000000">
      <w:pPr>
        <w:pStyle w:val="Style_2"/>
        <w:rPr>
          <w:rFonts w:ascii="Times New Roman" w:hAnsi="Times New Roman"/>
          <w:sz w:val="26"/>
        </w:rPr>
      </w:pPr>
    </w:p>
    <w:sectPr>
      <w:headerReference r:id="rId1" w:type="default"/>
      <w:pgSz w:h="11908" w:orient="landscape" w:w="16848"/>
      <w:pgMar w:bottom="1020" w:footer="680" w:header="680" w:left="1474" w:right="964" w:top="102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after="0" w:line="240" w:lineRule="exact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Муниципальное бюджетное дошкольное образовательное учреждение</w:t>
    </w:r>
  </w:p>
  <w:p w14:paraId="02000000">
    <w:pPr>
      <w:tabs>
        <w:tab w:leader="none" w:pos="4677" w:val="center"/>
        <w:tab w:leader="none" w:pos="9355" w:val="right"/>
      </w:tabs>
      <w:spacing w:after="0" w:line="240" w:lineRule="exact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детский сад №7 «Лесная поляна»</w:t>
    </w:r>
  </w:p>
  <w:p w14:paraId="03000000">
    <w:pPr>
      <w:pStyle w:val="Style_1"/>
      <w:spacing w:after="113"/>
      <w:ind/>
      <w:jc w:val="center"/>
    </w:pPr>
    <w:r>
      <w:rPr>
        <w:rFonts w:ascii="Times New Roman" w:hAnsi="Times New Roman"/>
        <w:sz w:val="20"/>
      </w:rPr>
      <w:t>Старооскольского городского ок</w:t>
    </w:r>
    <w:r>
      <w:rPr>
        <w:rFonts w:ascii="Times New Roman" w:hAnsi="Times New Roman"/>
        <w:sz w:val="20"/>
      </w:rPr>
      <w:t>руга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2024-03-17T13:50:09Z</dcterms:modified>
</cp:coreProperties>
</file>